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0" w:after="1000" w:line="560" w:lineRule="exact"/>
        <w:jc w:val="center"/>
        <w:rPr>
          <w:rFonts w:hint="default" w:ascii="宋体" w:hAnsi="宋体" w:eastAsia="宋体" w:cs="宋体"/>
          <w:sz w:val="18"/>
          <w:szCs w:val="18"/>
          <w:lang w:val="en-US" w:eastAsia="zh-CN"/>
        </w:rPr>
      </w:pPr>
      <w:r>
        <w:rPr>
          <w:rFonts w:ascii="宋体" w:hAnsi="宋体" w:eastAsia="宋体" w:cs="宋体"/>
          <w:sz w:val="18"/>
          <w:szCs w:val="18"/>
        </w:rPr>
        <w:t xml:space="preserve">证券代码：001219            </w:t>
      </w:r>
      <w:r>
        <w:rPr>
          <w:rFonts w:hint="eastAsia" w:ascii="宋体" w:hAnsi="宋体" w:cs="宋体"/>
          <w:sz w:val="18"/>
          <w:szCs w:val="18"/>
          <w:lang w:val="en-US" w:eastAsia="zh-CN"/>
        </w:rPr>
        <w:t xml:space="preserve">          </w:t>
      </w:r>
      <w:r>
        <w:rPr>
          <w:rFonts w:ascii="宋体" w:hAnsi="宋体" w:eastAsia="宋体" w:cs="宋体"/>
          <w:sz w:val="18"/>
          <w:szCs w:val="18"/>
        </w:rPr>
        <w:t xml:space="preserve">    证券简称：青岛食品          </w:t>
      </w:r>
      <w:r>
        <w:rPr>
          <w:rFonts w:hint="eastAsia" w:ascii="宋体" w:hAnsi="宋体" w:cs="宋体"/>
          <w:sz w:val="18"/>
          <w:szCs w:val="18"/>
          <w:lang w:val="en-US" w:eastAsia="zh-CN"/>
        </w:rPr>
        <w:t xml:space="preserve">          </w:t>
      </w:r>
      <w:r>
        <w:rPr>
          <w:rFonts w:ascii="宋体" w:hAnsi="宋体" w:eastAsia="宋体" w:cs="宋体"/>
          <w:sz w:val="18"/>
          <w:szCs w:val="18"/>
        </w:rPr>
        <w:t xml:space="preserve">      公告编号：</w:t>
      </w:r>
      <w:r>
        <w:rPr>
          <w:rFonts w:hint="eastAsia" w:ascii="宋体" w:hAnsi="宋体" w:cs="宋体"/>
          <w:sz w:val="18"/>
          <w:szCs w:val="18"/>
          <w:lang w:val="en-US" w:eastAsia="zh-CN"/>
        </w:rPr>
        <w:t>2024-029</w:t>
      </w:r>
    </w:p>
    <w:p>
      <w:pPr>
        <w:spacing w:before="0" w:after="1000" w:line="400" w:lineRule="exact"/>
        <w:jc w:val="center"/>
        <w:rPr>
          <w:rFonts w:ascii="宋体" w:hAnsi="宋体" w:eastAsia="宋体" w:cs="宋体"/>
          <w:b/>
          <w:bCs/>
          <w:sz w:val="36"/>
          <w:szCs w:val="36"/>
        </w:rPr>
      </w:pPr>
      <w:r>
        <w:rPr>
          <w:rFonts w:ascii="宋体" w:hAnsi="宋体" w:eastAsia="宋体" w:cs="宋体"/>
          <w:b/>
          <w:bCs/>
          <w:sz w:val="36"/>
          <w:szCs w:val="36"/>
        </w:rPr>
        <w:t>青岛食品股份有限公司2024年半年度报告摘要</w:t>
      </w:r>
    </w:p>
    <w:p>
      <w:pPr>
        <w:keepNext/>
        <w:keepLines/>
        <w:spacing w:before="300" w:after="300" w:line="320" w:lineRule="exact"/>
        <w:jc w:val="left"/>
        <w:outlineLvl w:val="1"/>
        <w:rPr>
          <w:rFonts w:ascii="宋体" w:hAnsi="宋体" w:eastAsia="宋体" w:cs="宋体"/>
          <w:b/>
          <w:bCs/>
          <w:sz w:val="24"/>
          <w:szCs w:val="24"/>
        </w:rPr>
      </w:pPr>
      <w:bookmarkStart w:id="0" w:name="_Toc988889"/>
      <w:r>
        <w:rPr>
          <w:rFonts w:ascii="宋体" w:hAnsi="宋体" w:eastAsia="宋体" w:cs="宋体"/>
          <w:b/>
          <w:bCs/>
          <w:sz w:val="24"/>
          <w:szCs w:val="24"/>
        </w:rPr>
        <w:t>一、重要提示</w:t>
      </w:r>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本半年度报告摘要来自半年度报告全文，为全面了解本公司的经营成果、财务状况及未来发展规划，投资者应当到证监会指定媒体仔细阅读半年度报告全文。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所有董事均已出席了审议本报告的董事会会议。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非标准审计意见提示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□适用 </w:t>
      </w:r>
      <w:r>
        <w:rPr>
          <w:rFonts w:hint="eastAsia" w:ascii="宋体" w:hAnsi="宋体" w:eastAsia="宋体" w:cs="宋体"/>
          <w:sz w:val="21"/>
          <w:szCs w:val="21"/>
        </w:rPr>
        <w:sym w:font="Wingdings 2" w:char="F052"/>
      </w:r>
      <w:r>
        <w:rPr>
          <w:rFonts w:hint="eastAsia" w:ascii="宋体" w:hAnsi="宋体" w:eastAsia="宋体" w:cs="宋体"/>
          <w:sz w:val="21"/>
          <w:szCs w:val="21"/>
        </w:rPr>
        <w:t>不适用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董事会审议的报告期利润分配预案或公积金转增股本预案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□适用 </w:t>
      </w:r>
      <w:r>
        <w:rPr>
          <w:rFonts w:hint="eastAsia" w:ascii="宋体" w:hAnsi="宋体" w:eastAsia="宋体" w:cs="宋体"/>
          <w:sz w:val="21"/>
          <w:szCs w:val="21"/>
        </w:rPr>
        <w:sym w:font="Wingdings 2" w:char="F052"/>
      </w:r>
      <w:r>
        <w:rPr>
          <w:rFonts w:hint="eastAsia" w:ascii="宋体" w:hAnsi="宋体" w:eastAsia="宋体" w:cs="宋体"/>
          <w:sz w:val="21"/>
          <w:szCs w:val="21"/>
        </w:rPr>
        <w:t>不适用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公司计划不派发现金红利，不送红股，不以公积金转增股本。</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董事会决议通过的本报告期优先股利润分配预案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□适用 </w:t>
      </w:r>
      <w:r>
        <w:rPr>
          <w:rFonts w:hint="eastAsia" w:ascii="宋体" w:hAnsi="宋体" w:eastAsia="宋体" w:cs="宋体"/>
          <w:sz w:val="21"/>
          <w:szCs w:val="21"/>
        </w:rPr>
        <w:sym w:font="Wingdings 2" w:char="F052"/>
      </w:r>
      <w:r>
        <w:rPr>
          <w:rFonts w:hint="eastAsia" w:ascii="宋体" w:hAnsi="宋体" w:eastAsia="宋体" w:cs="宋体"/>
          <w:sz w:val="21"/>
          <w:szCs w:val="21"/>
        </w:rPr>
        <w:t>不适用</w:t>
      </w:r>
    </w:p>
    <w:p>
      <w:pPr>
        <w:keepNext/>
        <w:keepLines/>
        <w:spacing w:before="300" w:after="300" w:line="320" w:lineRule="exact"/>
        <w:jc w:val="left"/>
        <w:outlineLvl w:val="1"/>
        <w:rPr>
          <w:rFonts w:ascii="宋体" w:hAnsi="宋体" w:eastAsia="宋体" w:cs="宋体"/>
          <w:b/>
          <w:bCs/>
          <w:sz w:val="24"/>
          <w:szCs w:val="24"/>
        </w:rPr>
      </w:pPr>
      <w:bookmarkStart w:id="1" w:name="_Toc988890"/>
      <w:r>
        <w:rPr>
          <w:rFonts w:ascii="宋体" w:hAnsi="宋体" w:eastAsia="宋体" w:cs="宋体"/>
          <w:b/>
          <w:bCs/>
          <w:sz w:val="24"/>
          <w:szCs w:val="24"/>
        </w:rPr>
        <w:t>二、公司基本情况</w:t>
      </w:r>
      <w:bookmarkEnd w:id="1"/>
    </w:p>
    <w:p>
      <w:pPr>
        <w:keepNext/>
        <w:keepLines/>
        <w:spacing w:before="300" w:after="300" w:line="280" w:lineRule="exact"/>
        <w:jc w:val="left"/>
        <w:outlineLvl w:val="2"/>
        <w:rPr>
          <w:rFonts w:ascii="宋体" w:hAnsi="宋体" w:eastAsia="宋体" w:cs="宋体"/>
          <w:b/>
          <w:bCs/>
          <w:sz w:val="21"/>
          <w:szCs w:val="21"/>
        </w:rPr>
      </w:pPr>
      <w:bookmarkStart w:id="2" w:name="_Toc988891"/>
      <w:r>
        <w:rPr>
          <w:rFonts w:ascii="宋体" w:hAnsi="宋体" w:eastAsia="宋体" w:cs="宋体"/>
          <w:b/>
          <w:bCs/>
          <w:sz w:val="21"/>
          <w:szCs w:val="21"/>
        </w:rPr>
        <w:t>1、公司简介</w:t>
      </w:r>
      <w:bookmarkEnd w:id="2"/>
    </w:p>
    <w:tbl>
      <w:tblPr>
        <w:tblStyle w:val="3"/>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3"/>
        <w:gridCol w:w="2142"/>
        <w:gridCol w:w="1071"/>
        <w:gridCol w:w="1071"/>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13" w:type="dxa"/>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股票简称</w:t>
            </w:r>
          </w:p>
        </w:tc>
        <w:tc>
          <w:tcPr>
            <w:tcW w:w="2142" w:type="dxa"/>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青岛食品</w:t>
            </w:r>
          </w:p>
        </w:tc>
        <w:tc>
          <w:tcPr>
            <w:tcW w:w="2142" w:type="dxa"/>
            <w:gridSpan w:val="2"/>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股票代码</w:t>
            </w:r>
          </w:p>
        </w:tc>
        <w:tc>
          <w:tcPr>
            <w:tcW w:w="2142" w:type="dxa"/>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001219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13" w:type="dxa"/>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股票上市交易所</w:t>
            </w:r>
          </w:p>
        </w:tc>
        <w:tc>
          <w:tcPr>
            <w:tcW w:w="6426" w:type="dxa"/>
            <w:gridSpan w:val="4"/>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13" w:type="dxa"/>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联系人和联系方式</w:t>
            </w:r>
          </w:p>
        </w:tc>
        <w:tc>
          <w:tcPr>
            <w:tcW w:w="3213" w:type="dxa"/>
            <w:gridSpan w:val="2"/>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董事会秘书</w:t>
            </w:r>
          </w:p>
        </w:tc>
        <w:tc>
          <w:tcPr>
            <w:tcW w:w="3213" w:type="dxa"/>
            <w:gridSpan w:val="2"/>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证券事务代表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13" w:type="dxa"/>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姓名</w:t>
            </w:r>
          </w:p>
        </w:tc>
        <w:tc>
          <w:tcPr>
            <w:tcW w:w="3213" w:type="dxa"/>
            <w:gridSpan w:val="2"/>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张松涛</w:t>
            </w:r>
          </w:p>
        </w:tc>
        <w:tc>
          <w:tcPr>
            <w:tcW w:w="3213" w:type="dxa"/>
            <w:gridSpan w:val="2"/>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李春宏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13" w:type="dxa"/>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办公地址</w:t>
            </w:r>
          </w:p>
        </w:tc>
        <w:tc>
          <w:tcPr>
            <w:tcW w:w="3213" w:type="dxa"/>
            <w:gridSpan w:val="2"/>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青岛市李沧区四流中支路2号</w:t>
            </w:r>
          </w:p>
        </w:tc>
        <w:tc>
          <w:tcPr>
            <w:tcW w:w="3213" w:type="dxa"/>
            <w:gridSpan w:val="2"/>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青岛市李沧区四流中支路2号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13" w:type="dxa"/>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电话</w:t>
            </w:r>
          </w:p>
        </w:tc>
        <w:tc>
          <w:tcPr>
            <w:tcW w:w="3213" w:type="dxa"/>
            <w:gridSpan w:val="2"/>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0532-84633589</w:t>
            </w:r>
          </w:p>
        </w:tc>
        <w:tc>
          <w:tcPr>
            <w:tcW w:w="3213" w:type="dxa"/>
            <w:gridSpan w:val="2"/>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0532-84633589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13" w:type="dxa"/>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电子信箱</w:t>
            </w:r>
          </w:p>
        </w:tc>
        <w:tc>
          <w:tcPr>
            <w:tcW w:w="3213" w:type="dxa"/>
            <w:gridSpan w:val="2"/>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ir@qdfood.com</w:t>
            </w:r>
          </w:p>
        </w:tc>
        <w:tc>
          <w:tcPr>
            <w:tcW w:w="3213" w:type="dxa"/>
            <w:gridSpan w:val="2"/>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ir@qdfood.com</w:t>
            </w:r>
          </w:p>
        </w:tc>
      </w:tr>
    </w:tbl>
    <w:p>
      <w:pPr>
        <w:keepNext/>
        <w:keepLines/>
        <w:spacing w:before="300" w:after="300" w:line="280" w:lineRule="exact"/>
        <w:jc w:val="left"/>
        <w:outlineLvl w:val="2"/>
        <w:rPr>
          <w:rFonts w:ascii="宋体" w:hAnsi="宋体" w:eastAsia="宋体" w:cs="宋体"/>
          <w:b/>
          <w:bCs/>
          <w:sz w:val="21"/>
          <w:szCs w:val="21"/>
        </w:rPr>
      </w:pPr>
      <w:bookmarkStart w:id="3" w:name="_Toc988892"/>
      <w:r>
        <w:rPr>
          <w:rFonts w:ascii="宋体" w:hAnsi="宋体" w:eastAsia="宋体" w:cs="宋体"/>
          <w:b/>
          <w:bCs/>
          <w:sz w:val="21"/>
          <w:szCs w:val="21"/>
        </w:rPr>
        <w:t>2、主要会计数据和财务指标</w:t>
      </w:r>
      <w:bookmarkEnd w:id="3"/>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公司是否需追溯调整或重述以前年度会计数据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□是 </w:t>
      </w:r>
      <w:r>
        <w:rPr>
          <w:rFonts w:hint="eastAsia" w:ascii="宋体" w:hAnsi="宋体" w:eastAsia="宋体" w:cs="宋体"/>
          <w:sz w:val="21"/>
          <w:szCs w:val="21"/>
        </w:rPr>
        <w:sym w:font="Wingdings 2" w:char="F052"/>
      </w:r>
      <w:r>
        <w:rPr>
          <w:rFonts w:hint="eastAsia" w:ascii="宋体" w:hAnsi="宋体" w:eastAsia="宋体" w:cs="宋体"/>
          <w:sz w:val="21"/>
          <w:szCs w:val="21"/>
        </w:rPr>
        <w:t>否</w:t>
      </w:r>
    </w:p>
    <w:tbl>
      <w:tblPr>
        <w:tblStyle w:val="3"/>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8"/>
        <w:gridCol w:w="2037"/>
        <w:gridCol w:w="1875"/>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08" w:type="dxa"/>
            <w:shd w:val="clear" w:color="auto" w:fill="D3D3D3"/>
            <w:vAlign w:val="center"/>
          </w:tcPr>
          <w:p/>
        </w:tc>
        <w:tc>
          <w:tcPr>
            <w:tcW w:w="2037" w:type="dxa"/>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1875" w:type="dxa"/>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2520" w:type="dxa"/>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本报告期比上年同期增减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08" w:type="dxa"/>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2037"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262,214,316.65</w:t>
            </w:r>
          </w:p>
        </w:tc>
        <w:tc>
          <w:tcPr>
            <w:tcW w:w="1875"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252,334,152.62</w:t>
            </w:r>
          </w:p>
        </w:tc>
        <w:tc>
          <w:tcPr>
            <w:tcW w:w="252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08" w:type="dxa"/>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2037"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60,038,963.46</w:t>
            </w:r>
          </w:p>
        </w:tc>
        <w:tc>
          <w:tcPr>
            <w:tcW w:w="1875"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53,356,825.29</w:t>
            </w:r>
          </w:p>
        </w:tc>
        <w:tc>
          <w:tcPr>
            <w:tcW w:w="252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08" w:type="dxa"/>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2037"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52,224,377.61</w:t>
            </w:r>
          </w:p>
        </w:tc>
        <w:tc>
          <w:tcPr>
            <w:tcW w:w="1875"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44,572,150.55</w:t>
            </w:r>
          </w:p>
        </w:tc>
        <w:tc>
          <w:tcPr>
            <w:tcW w:w="252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08" w:type="dxa"/>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2037"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33,725,991.54</w:t>
            </w:r>
          </w:p>
        </w:tc>
        <w:tc>
          <w:tcPr>
            <w:tcW w:w="1875"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14,421,347.88</w:t>
            </w:r>
          </w:p>
        </w:tc>
        <w:tc>
          <w:tcPr>
            <w:tcW w:w="252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08" w:type="dxa"/>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2037"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0.31</w:t>
            </w:r>
          </w:p>
        </w:tc>
        <w:tc>
          <w:tcPr>
            <w:tcW w:w="1875"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0.27</w:t>
            </w:r>
          </w:p>
        </w:tc>
        <w:tc>
          <w:tcPr>
            <w:tcW w:w="252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08" w:type="dxa"/>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2037"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0.31</w:t>
            </w:r>
          </w:p>
        </w:tc>
        <w:tc>
          <w:tcPr>
            <w:tcW w:w="1875"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0.27</w:t>
            </w:r>
          </w:p>
        </w:tc>
        <w:tc>
          <w:tcPr>
            <w:tcW w:w="252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08" w:type="dxa"/>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2037"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w:t>
            </w:r>
          </w:p>
        </w:tc>
        <w:tc>
          <w:tcPr>
            <w:tcW w:w="1875"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5.65%</w:t>
            </w:r>
          </w:p>
        </w:tc>
        <w:tc>
          <w:tcPr>
            <w:tcW w:w="252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08" w:type="dxa"/>
            <w:shd w:val="clear" w:color="auto" w:fill="D3D3D3"/>
            <w:vAlign w:val="center"/>
          </w:tcPr>
          <w:p/>
        </w:tc>
        <w:tc>
          <w:tcPr>
            <w:tcW w:w="2037" w:type="dxa"/>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1875" w:type="dxa"/>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上年度末</w:t>
            </w:r>
          </w:p>
        </w:tc>
        <w:tc>
          <w:tcPr>
            <w:tcW w:w="2520" w:type="dxa"/>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08" w:type="dxa"/>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总资产（元）</w:t>
            </w:r>
          </w:p>
        </w:tc>
        <w:tc>
          <w:tcPr>
            <w:tcW w:w="2037"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1,062,119,643.16</w:t>
            </w:r>
          </w:p>
        </w:tc>
        <w:tc>
          <w:tcPr>
            <w:tcW w:w="1875"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1,074,440,453.60</w:t>
            </w:r>
          </w:p>
        </w:tc>
        <w:tc>
          <w:tcPr>
            <w:tcW w:w="252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08" w:type="dxa"/>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归属于上市公司股东的净资产（元）</w:t>
            </w:r>
          </w:p>
        </w:tc>
        <w:tc>
          <w:tcPr>
            <w:tcW w:w="2037"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989,986,918.72</w:t>
            </w:r>
          </w:p>
        </w:tc>
        <w:tc>
          <w:tcPr>
            <w:tcW w:w="1875"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974,634,181.91</w:t>
            </w:r>
          </w:p>
        </w:tc>
        <w:tc>
          <w:tcPr>
            <w:tcW w:w="252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w:t>
            </w:r>
          </w:p>
        </w:tc>
      </w:tr>
    </w:tbl>
    <w:p>
      <w:pPr>
        <w:keepNext/>
        <w:keepLines/>
        <w:spacing w:before="300" w:after="300" w:line="280" w:lineRule="exact"/>
        <w:jc w:val="left"/>
        <w:outlineLvl w:val="2"/>
        <w:rPr>
          <w:rFonts w:ascii="宋体" w:hAnsi="宋体" w:eastAsia="宋体" w:cs="宋体"/>
          <w:b/>
          <w:bCs/>
          <w:sz w:val="21"/>
          <w:szCs w:val="21"/>
        </w:rPr>
      </w:pPr>
      <w:bookmarkStart w:id="4" w:name="_Toc988893"/>
      <w:r>
        <w:rPr>
          <w:rFonts w:ascii="宋体" w:hAnsi="宋体" w:eastAsia="宋体" w:cs="宋体"/>
          <w:b/>
          <w:bCs/>
          <w:sz w:val="21"/>
          <w:szCs w:val="21"/>
        </w:rPr>
        <w:t>3、公司股东数量及持股情况</w:t>
      </w:r>
      <w:bookmarkEnd w:id="4"/>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3"/>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125"/>
        <w:gridCol w:w="150"/>
        <w:gridCol w:w="1525"/>
        <w:gridCol w:w="314"/>
        <w:gridCol w:w="724"/>
        <w:gridCol w:w="1287"/>
        <w:gridCol w:w="1313"/>
        <w:gridCol w:w="1150"/>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295" w:type="dxa"/>
            <w:gridSpan w:val="2"/>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1989" w:type="dxa"/>
            <w:gridSpan w:val="3"/>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15,197</w:t>
            </w:r>
          </w:p>
        </w:tc>
        <w:tc>
          <w:tcPr>
            <w:tcW w:w="3324" w:type="dxa"/>
            <w:gridSpan w:val="3"/>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报告期末表决权恢复的优先股股东总数（如有）</w:t>
            </w:r>
          </w:p>
        </w:tc>
        <w:tc>
          <w:tcPr>
            <w:tcW w:w="2031" w:type="dxa"/>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639" w:type="dxa"/>
            <w:gridSpan w:val="10"/>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前10名股东持股情况（不含通过转融通出借股份）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445" w:type="dxa"/>
            <w:gridSpan w:val="3"/>
            <w:vMerge w:val="restart"/>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525" w:type="dxa"/>
            <w:vMerge w:val="restart"/>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1038" w:type="dxa"/>
            <w:gridSpan w:val="2"/>
            <w:vMerge w:val="restart"/>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287" w:type="dxa"/>
            <w:vMerge w:val="restart"/>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持股数量</w:t>
            </w:r>
          </w:p>
        </w:tc>
        <w:tc>
          <w:tcPr>
            <w:tcW w:w="1313" w:type="dxa"/>
            <w:vMerge w:val="restart"/>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2031" w:type="dxa"/>
            <w:gridSpan w:val="2"/>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445" w:type="dxa"/>
            <w:gridSpan w:val="3"/>
            <w:vMerge w:val="continue"/>
            <w:shd w:val="clear" w:color="auto" w:fill="D3D3D3"/>
            <w:vAlign w:val="center"/>
          </w:tcPr>
          <w:p/>
        </w:tc>
        <w:tc>
          <w:tcPr>
            <w:tcW w:w="1525" w:type="dxa"/>
            <w:vMerge w:val="continue"/>
            <w:shd w:val="clear" w:color="auto" w:fill="D3D3D3"/>
            <w:vAlign w:val="center"/>
          </w:tcPr>
          <w:p/>
        </w:tc>
        <w:tc>
          <w:tcPr>
            <w:tcW w:w="1038" w:type="dxa"/>
            <w:gridSpan w:val="2"/>
            <w:vMerge w:val="continue"/>
            <w:shd w:val="clear" w:color="auto" w:fill="D3D3D3"/>
            <w:vAlign w:val="center"/>
          </w:tcPr>
          <w:p/>
        </w:tc>
        <w:tc>
          <w:tcPr>
            <w:tcW w:w="1287" w:type="dxa"/>
            <w:vMerge w:val="continue"/>
            <w:shd w:val="clear" w:color="auto" w:fill="D3D3D3"/>
            <w:vAlign w:val="center"/>
          </w:tcPr>
          <w:p/>
        </w:tc>
        <w:tc>
          <w:tcPr>
            <w:tcW w:w="1313" w:type="dxa"/>
            <w:vMerge w:val="continue"/>
            <w:shd w:val="clear" w:color="auto" w:fill="D3D3D3"/>
            <w:vAlign w:val="center"/>
          </w:tcPr>
          <w:p/>
        </w:tc>
        <w:tc>
          <w:tcPr>
            <w:tcW w:w="1150" w:type="dxa"/>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881" w:type="dxa"/>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445" w:type="dxa"/>
            <w:gridSpan w:val="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青岛华通国有资本投资运营集团有限公司</w:t>
            </w:r>
          </w:p>
        </w:tc>
        <w:tc>
          <w:tcPr>
            <w:tcW w:w="1525" w:type="dxa"/>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1038" w:type="dxa"/>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46.74%</w:t>
            </w:r>
          </w:p>
        </w:tc>
        <w:tc>
          <w:tcPr>
            <w:tcW w:w="1287"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91,134,905</w:t>
            </w:r>
          </w:p>
        </w:tc>
        <w:tc>
          <w:tcPr>
            <w:tcW w:w="13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91,134,905</w:t>
            </w:r>
          </w:p>
        </w:tc>
        <w:tc>
          <w:tcPr>
            <w:tcW w:w="1150" w:type="dxa"/>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88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445" w:type="dxa"/>
            <w:gridSpan w:val="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青岛食品股份有限公司未确权股份托管专用证券账户</w:t>
            </w:r>
          </w:p>
        </w:tc>
        <w:tc>
          <w:tcPr>
            <w:tcW w:w="1525" w:type="dxa"/>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038" w:type="dxa"/>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w:t>
            </w:r>
          </w:p>
        </w:tc>
        <w:tc>
          <w:tcPr>
            <w:tcW w:w="1287"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5,159,247</w:t>
            </w:r>
          </w:p>
        </w:tc>
        <w:tc>
          <w:tcPr>
            <w:tcW w:w="13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5,159,247</w:t>
            </w:r>
          </w:p>
        </w:tc>
        <w:tc>
          <w:tcPr>
            <w:tcW w:w="1150" w:type="dxa"/>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88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445" w:type="dxa"/>
            <w:gridSpan w:val="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冯建霖</w:t>
            </w:r>
          </w:p>
        </w:tc>
        <w:tc>
          <w:tcPr>
            <w:tcW w:w="1525" w:type="dxa"/>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38" w:type="dxa"/>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w:t>
            </w:r>
          </w:p>
        </w:tc>
        <w:tc>
          <w:tcPr>
            <w:tcW w:w="1287"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3,038,509</w:t>
            </w:r>
          </w:p>
        </w:tc>
        <w:tc>
          <w:tcPr>
            <w:tcW w:w="13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150" w:type="dxa"/>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88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445" w:type="dxa"/>
            <w:gridSpan w:val="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深圳市核子基因科技有限公司</w:t>
            </w:r>
          </w:p>
        </w:tc>
        <w:tc>
          <w:tcPr>
            <w:tcW w:w="1525" w:type="dxa"/>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038" w:type="dxa"/>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w:t>
            </w:r>
          </w:p>
        </w:tc>
        <w:tc>
          <w:tcPr>
            <w:tcW w:w="1287"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2,749,856</w:t>
            </w:r>
          </w:p>
        </w:tc>
        <w:tc>
          <w:tcPr>
            <w:tcW w:w="13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150" w:type="dxa"/>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88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445" w:type="dxa"/>
            <w:gridSpan w:val="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陈芳</w:t>
            </w:r>
          </w:p>
        </w:tc>
        <w:tc>
          <w:tcPr>
            <w:tcW w:w="1525" w:type="dxa"/>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38" w:type="dxa"/>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w:t>
            </w:r>
          </w:p>
        </w:tc>
        <w:tc>
          <w:tcPr>
            <w:tcW w:w="1287"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2,060,915</w:t>
            </w:r>
          </w:p>
        </w:tc>
        <w:tc>
          <w:tcPr>
            <w:tcW w:w="13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150" w:type="dxa"/>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88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445" w:type="dxa"/>
            <w:gridSpan w:val="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王莉</w:t>
            </w:r>
          </w:p>
        </w:tc>
        <w:tc>
          <w:tcPr>
            <w:tcW w:w="1525" w:type="dxa"/>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38" w:type="dxa"/>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0.90%</w:t>
            </w:r>
          </w:p>
        </w:tc>
        <w:tc>
          <w:tcPr>
            <w:tcW w:w="1287"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1,750,672</w:t>
            </w:r>
          </w:p>
        </w:tc>
        <w:tc>
          <w:tcPr>
            <w:tcW w:w="13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150" w:type="dxa"/>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88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445" w:type="dxa"/>
            <w:gridSpan w:val="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郑忻</w:t>
            </w:r>
          </w:p>
        </w:tc>
        <w:tc>
          <w:tcPr>
            <w:tcW w:w="1525" w:type="dxa"/>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38" w:type="dxa"/>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0.55%</w:t>
            </w:r>
          </w:p>
        </w:tc>
        <w:tc>
          <w:tcPr>
            <w:tcW w:w="1287"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1,065,870</w:t>
            </w:r>
          </w:p>
        </w:tc>
        <w:tc>
          <w:tcPr>
            <w:tcW w:w="13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150" w:type="dxa"/>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88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445" w:type="dxa"/>
            <w:gridSpan w:val="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青岛欧森海事技术服务有限公司</w:t>
            </w:r>
          </w:p>
        </w:tc>
        <w:tc>
          <w:tcPr>
            <w:tcW w:w="1525" w:type="dxa"/>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038" w:type="dxa"/>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0.53%</w:t>
            </w:r>
          </w:p>
        </w:tc>
        <w:tc>
          <w:tcPr>
            <w:tcW w:w="1287"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1,028,885</w:t>
            </w:r>
          </w:p>
        </w:tc>
        <w:tc>
          <w:tcPr>
            <w:tcW w:w="13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150" w:type="dxa"/>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质押</w:t>
            </w:r>
          </w:p>
        </w:tc>
        <w:tc>
          <w:tcPr>
            <w:tcW w:w="88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445" w:type="dxa"/>
            <w:gridSpan w:val="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刘志颖</w:t>
            </w:r>
          </w:p>
        </w:tc>
        <w:tc>
          <w:tcPr>
            <w:tcW w:w="1525" w:type="dxa"/>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38" w:type="dxa"/>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0.51%</w:t>
            </w:r>
          </w:p>
        </w:tc>
        <w:tc>
          <w:tcPr>
            <w:tcW w:w="1287"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988,650</w:t>
            </w:r>
          </w:p>
        </w:tc>
        <w:tc>
          <w:tcPr>
            <w:tcW w:w="13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150" w:type="dxa"/>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88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445" w:type="dxa"/>
            <w:gridSpan w:val="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刘竹轩</w:t>
            </w:r>
          </w:p>
        </w:tc>
        <w:tc>
          <w:tcPr>
            <w:tcW w:w="1525" w:type="dxa"/>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38" w:type="dxa"/>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c>
          <w:tcPr>
            <w:tcW w:w="1287"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935,944</w:t>
            </w:r>
          </w:p>
        </w:tc>
        <w:tc>
          <w:tcPr>
            <w:tcW w:w="13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150" w:type="dxa"/>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88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170" w:type="dxa"/>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7469" w:type="dxa"/>
            <w:gridSpan w:val="9"/>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青岛华通国有资本投资运营集团有限公司系公司控股股东、实际控制人，持有公司46.74%的股份。除此之外，公司未知上述其他股东之间是否存在关联关系，是否属于一致行动人。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170" w:type="dxa"/>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参与融资融券业务股东情况说明（如有）</w:t>
            </w:r>
          </w:p>
        </w:tc>
        <w:tc>
          <w:tcPr>
            <w:tcW w:w="7469" w:type="dxa"/>
            <w:gridSpan w:val="9"/>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冯建霖通过信用交易担保证券账户持有3,038,509股；陈芳通过信用交易担保证券账户持有2,060,915股；郑忻通过信用交易担保证券账户持有1,065,870股；刘志颖通过信用交易担保证券账户持有988,650股。</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持股5%以上股东、前10名股东及前10名无限售流通股股东参与转融通业务出借股份情况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□适用 </w:t>
      </w:r>
      <w:r>
        <w:rPr>
          <w:rFonts w:hint="eastAsia" w:ascii="宋体" w:hAnsi="宋体" w:eastAsia="宋体" w:cs="宋体"/>
          <w:sz w:val="21"/>
          <w:szCs w:val="21"/>
        </w:rPr>
        <w:sym w:font="Wingdings 2" w:char="F052"/>
      </w:r>
      <w:r>
        <w:rPr>
          <w:rFonts w:hint="eastAsia" w:ascii="宋体" w:hAnsi="宋体" w:eastAsia="宋体" w:cs="宋体"/>
          <w:sz w:val="21"/>
          <w:szCs w:val="21"/>
        </w:rPr>
        <w:t>不适用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前10名股东及前10名无限售流通股股东因转融通出借/归还原因导致较上期发生变化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□适用 </w:t>
      </w:r>
      <w:r>
        <w:rPr>
          <w:rFonts w:hint="eastAsia" w:ascii="宋体" w:hAnsi="宋体" w:eastAsia="宋体" w:cs="宋体"/>
          <w:sz w:val="21"/>
          <w:szCs w:val="21"/>
        </w:rPr>
        <w:sym w:font="Wingdings 2" w:char="F052"/>
      </w:r>
      <w:r>
        <w:rPr>
          <w:rFonts w:hint="eastAsia" w:ascii="宋体" w:hAnsi="宋体" w:eastAsia="宋体" w:cs="宋体"/>
          <w:sz w:val="21"/>
          <w:szCs w:val="21"/>
        </w:rPr>
        <w:t>不适用</w:t>
      </w:r>
    </w:p>
    <w:p>
      <w:pPr>
        <w:keepNext/>
        <w:keepLines/>
        <w:spacing w:before="300" w:after="300" w:line="280" w:lineRule="exact"/>
        <w:jc w:val="left"/>
        <w:outlineLvl w:val="2"/>
        <w:rPr>
          <w:rFonts w:ascii="宋体" w:hAnsi="宋体" w:eastAsia="宋体" w:cs="宋体"/>
          <w:b/>
          <w:bCs/>
          <w:sz w:val="21"/>
          <w:szCs w:val="21"/>
        </w:rPr>
      </w:pPr>
      <w:bookmarkStart w:id="5" w:name="_Toc988894"/>
      <w:r>
        <w:rPr>
          <w:rFonts w:ascii="宋体" w:hAnsi="宋体" w:eastAsia="宋体" w:cs="宋体"/>
          <w:b/>
          <w:bCs/>
          <w:sz w:val="21"/>
          <w:szCs w:val="21"/>
        </w:rPr>
        <w:t>4、控股股东或实际控制人变更情况</w:t>
      </w:r>
      <w:bookmarkEnd w:id="5"/>
    </w:p>
    <w:p>
      <w:pPr>
        <w:pStyle w:val="2"/>
        <w:keepNext w:val="0"/>
        <w:keepLines w:val="0"/>
        <w:widowControl/>
        <w:suppressLineNumbers w:val="0"/>
        <w:spacing w:before="0" w:beforeAutospacing="0" w:after="0" w:afterAutospacing="0"/>
        <w:ind w:left="0" w:right="0" w:firstLine="420" w:firstLineChars="200"/>
        <w:jc w:val="both"/>
        <w:rPr>
          <w:rFonts w:hint="eastAsia" w:ascii="宋体" w:hAnsi="宋体" w:eastAsia="宋体" w:cs="宋体"/>
          <w:sz w:val="21"/>
          <w:szCs w:val="21"/>
        </w:rPr>
      </w:pPr>
      <w:r>
        <w:rPr>
          <w:rFonts w:hint="eastAsia" w:ascii="宋体" w:hAnsi="宋体" w:eastAsia="宋体" w:cs="宋体"/>
          <w:sz w:val="21"/>
          <w:szCs w:val="21"/>
        </w:rPr>
        <w:t>控股股东报告期内变更</w:t>
      </w:r>
    </w:p>
    <w:p>
      <w:pPr>
        <w:pStyle w:val="2"/>
        <w:keepNext w:val="0"/>
        <w:keepLines w:val="0"/>
        <w:widowControl/>
        <w:suppressLineNumbers w:val="0"/>
        <w:spacing w:before="0" w:beforeAutospacing="0" w:after="0" w:afterAutospacing="0"/>
        <w:ind w:left="0" w:right="0"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□适用 </w:t>
      </w:r>
      <w:r>
        <w:rPr>
          <w:rFonts w:hint="eastAsia" w:ascii="宋体" w:hAnsi="宋体" w:eastAsia="宋体" w:cs="宋体"/>
          <w:sz w:val="21"/>
          <w:szCs w:val="21"/>
        </w:rPr>
        <w:sym w:font="Wingdings 2" w:char="F052"/>
      </w:r>
      <w:r>
        <w:rPr>
          <w:rFonts w:hint="eastAsia" w:ascii="宋体" w:hAnsi="宋体" w:eastAsia="宋体" w:cs="宋体"/>
          <w:sz w:val="21"/>
          <w:szCs w:val="21"/>
        </w:rPr>
        <w:t>不适用</w:t>
      </w:r>
    </w:p>
    <w:p>
      <w:pPr>
        <w:pStyle w:val="2"/>
        <w:keepNext w:val="0"/>
        <w:keepLines w:val="0"/>
        <w:widowControl/>
        <w:suppressLineNumbers w:val="0"/>
        <w:spacing w:before="0" w:beforeAutospacing="0" w:after="0" w:afterAutospacing="0"/>
        <w:ind w:left="0" w:right="0" w:firstLine="420" w:firstLineChars="200"/>
        <w:jc w:val="both"/>
        <w:rPr>
          <w:rFonts w:hint="eastAsia" w:ascii="宋体" w:hAnsi="宋体" w:eastAsia="宋体" w:cs="宋体"/>
          <w:sz w:val="21"/>
          <w:szCs w:val="21"/>
        </w:rPr>
      </w:pPr>
      <w:r>
        <w:rPr>
          <w:rFonts w:hint="eastAsia" w:ascii="宋体" w:hAnsi="宋体" w:eastAsia="宋体" w:cs="宋体"/>
          <w:sz w:val="21"/>
          <w:szCs w:val="21"/>
        </w:rPr>
        <w:t>公司报告期控股股东未发生变更。</w:t>
      </w:r>
    </w:p>
    <w:p>
      <w:pPr>
        <w:pStyle w:val="2"/>
        <w:keepNext w:val="0"/>
        <w:keepLines w:val="0"/>
        <w:widowControl/>
        <w:suppressLineNumbers w:val="0"/>
        <w:spacing w:before="0" w:beforeAutospacing="0" w:after="0" w:afterAutospacing="0"/>
        <w:ind w:left="0" w:right="0" w:firstLine="420" w:firstLineChars="200"/>
        <w:jc w:val="both"/>
        <w:rPr>
          <w:rFonts w:hint="eastAsia" w:ascii="宋体" w:hAnsi="宋体" w:eastAsia="宋体" w:cs="宋体"/>
          <w:sz w:val="21"/>
          <w:szCs w:val="21"/>
        </w:rPr>
      </w:pPr>
      <w:r>
        <w:rPr>
          <w:rFonts w:hint="eastAsia" w:ascii="宋体" w:hAnsi="宋体" w:eastAsia="宋体" w:cs="宋体"/>
          <w:sz w:val="21"/>
          <w:szCs w:val="21"/>
        </w:rPr>
        <w:t>实际控制人报告期内变更</w:t>
      </w:r>
    </w:p>
    <w:p>
      <w:pPr>
        <w:pStyle w:val="2"/>
        <w:keepNext w:val="0"/>
        <w:keepLines w:val="0"/>
        <w:widowControl/>
        <w:suppressLineNumbers w:val="0"/>
        <w:spacing w:before="0" w:beforeAutospacing="0" w:after="0" w:afterAutospacing="0"/>
        <w:ind w:left="0" w:right="0"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□适用 </w:t>
      </w:r>
      <w:r>
        <w:rPr>
          <w:rFonts w:hint="eastAsia" w:ascii="宋体" w:hAnsi="宋体" w:eastAsia="宋体" w:cs="宋体"/>
          <w:sz w:val="21"/>
          <w:szCs w:val="21"/>
        </w:rPr>
        <w:sym w:font="Wingdings 2" w:char="F052"/>
      </w:r>
      <w:r>
        <w:rPr>
          <w:rFonts w:hint="eastAsia" w:ascii="宋体" w:hAnsi="宋体" w:eastAsia="宋体" w:cs="宋体"/>
          <w:sz w:val="21"/>
          <w:szCs w:val="21"/>
        </w:rPr>
        <w:t>不适用</w:t>
      </w:r>
    </w:p>
    <w:p>
      <w:pPr>
        <w:pStyle w:val="2"/>
        <w:keepNext w:val="0"/>
        <w:keepLines w:val="0"/>
        <w:widowControl/>
        <w:suppressLineNumbers w:val="0"/>
        <w:spacing w:before="0" w:beforeAutospacing="0" w:after="0" w:afterAutospacing="0"/>
        <w:ind w:left="0" w:right="0" w:firstLine="420" w:firstLineChars="200"/>
        <w:jc w:val="both"/>
        <w:rPr>
          <w:rFonts w:hint="eastAsia" w:ascii="宋体" w:hAnsi="宋体" w:eastAsia="宋体" w:cs="宋体"/>
          <w:sz w:val="21"/>
          <w:szCs w:val="21"/>
        </w:rPr>
      </w:pPr>
      <w:r>
        <w:rPr>
          <w:rFonts w:hint="eastAsia" w:ascii="宋体" w:hAnsi="宋体" w:eastAsia="宋体" w:cs="宋体"/>
          <w:sz w:val="21"/>
          <w:szCs w:val="21"/>
        </w:rPr>
        <w:t>公司报告期实际控制人未发</w:t>
      </w:r>
      <w:bookmarkStart w:id="9" w:name="_GoBack"/>
      <w:bookmarkEnd w:id="9"/>
      <w:r>
        <w:rPr>
          <w:rFonts w:hint="eastAsia" w:ascii="宋体" w:hAnsi="宋体" w:eastAsia="宋体" w:cs="宋体"/>
          <w:sz w:val="21"/>
          <w:szCs w:val="21"/>
        </w:rPr>
        <w:t>生变更。</w:t>
      </w:r>
    </w:p>
    <w:p>
      <w:pPr>
        <w:keepNext/>
        <w:keepLines/>
        <w:spacing w:before="300" w:after="300" w:line="280" w:lineRule="exact"/>
        <w:jc w:val="left"/>
        <w:outlineLvl w:val="2"/>
        <w:rPr>
          <w:rFonts w:ascii="宋体" w:hAnsi="宋体" w:eastAsia="宋体" w:cs="宋体"/>
          <w:b/>
          <w:bCs/>
          <w:sz w:val="21"/>
          <w:szCs w:val="21"/>
        </w:rPr>
      </w:pPr>
      <w:bookmarkStart w:id="6" w:name="_Toc988895"/>
      <w:r>
        <w:rPr>
          <w:rFonts w:ascii="宋体" w:hAnsi="宋体" w:eastAsia="宋体" w:cs="宋体"/>
          <w:b/>
          <w:bCs/>
          <w:sz w:val="21"/>
          <w:szCs w:val="21"/>
        </w:rPr>
        <w:t>5、公司优先股股东总数及前10名优先股股东持股情况表</w:t>
      </w:r>
      <w:bookmarkEnd w:id="6"/>
    </w:p>
    <w:p>
      <w:pPr>
        <w:pStyle w:val="2"/>
        <w:keepNext w:val="0"/>
        <w:keepLines w:val="0"/>
        <w:widowControl/>
        <w:suppressLineNumbers w:val="0"/>
        <w:spacing w:before="0" w:beforeAutospacing="0" w:after="0" w:afterAutospacing="0"/>
        <w:ind w:left="0" w:right="0"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□适用 </w:t>
      </w:r>
      <w:r>
        <w:rPr>
          <w:rFonts w:hint="eastAsia" w:ascii="宋体" w:hAnsi="宋体" w:eastAsia="宋体" w:cs="宋体"/>
          <w:sz w:val="21"/>
          <w:szCs w:val="21"/>
        </w:rPr>
        <w:sym w:font="Wingdings 2" w:char="F052"/>
      </w:r>
      <w:r>
        <w:rPr>
          <w:rFonts w:hint="eastAsia" w:ascii="宋体" w:hAnsi="宋体" w:eastAsia="宋体" w:cs="宋体"/>
          <w:sz w:val="21"/>
          <w:szCs w:val="21"/>
        </w:rPr>
        <w:t>不适用</w:t>
      </w:r>
    </w:p>
    <w:p>
      <w:pPr>
        <w:pStyle w:val="2"/>
        <w:keepNext w:val="0"/>
        <w:keepLines w:val="0"/>
        <w:widowControl/>
        <w:suppressLineNumbers w:val="0"/>
        <w:spacing w:before="0" w:beforeAutospacing="0" w:after="0" w:afterAutospacing="0"/>
        <w:ind w:left="0" w:right="0" w:firstLine="420" w:firstLineChars="200"/>
        <w:jc w:val="both"/>
        <w:rPr>
          <w:rFonts w:hint="eastAsia" w:ascii="宋体" w:hAnsi="宋体" w:eastAsia="宋体" w:cs="宋体"/>
          <w:sz w:val="21"/>
          <w:szCs w:val="21"/>
        </w:rPr>
      </w:pPr>
      <w:r>
        <w:rPr>
          <w:rFonts w:hint="eastAsia" w:ascii="宋体" w:hAnsi="宋体" w:eastAsia="宋体" w:cs="宋体"/>
          <w:sz w:val="21"/>
          <w:szCs w:val="21"/>
        </w:rPr>
        <w:t>公司报告期无优先股股东持股情况。</w:t>
      </w:r>
    </w:p>
    <w:p>
      <w:pPr>
        <w:keepNext/>
        <w:keepLines/>
        <w:spacing w:before="300" w:after="300" w:line="280" w:lineRule="exact"/>
        <w:jc w:val="left"/>
        <w:outlineLvl w:val="2"/>
        <w:rPr>
          <w:rFonts w:ascii="宋体" w:hAnsi="宋体" w:eastAsia="宋体" w:cs="宋体"/>
          <w:b/>
          <w:bCs/>
          <w:sz w:val="21"/>
          <w:szCs w:val="21"/>
        </w:rPr>
      </w:pPr>
      <w:bookmarkStart w:id="7" w:name="_Toc988896"/>
      <w:r>
        <w:rPr>
          <w:rFonts w:ascii="宋体" w:hAnsi="宋体" w:eastAsia="宋体" w:cs="宋体"/>
          <w:b/>
          <w:bCs/>
          <w:sz w:val="21"/>
          <w:szCs w:val="21"/>
        </w:rPr>
        <w:t>6、在半年度报告批准报出日存续的债券情况</w:t>
      </w:r>
      <w:bookmarkEnd w:id="7"/>
    </w:p>
    <w:p>
      <w:pPr>
        <w:pStyle w:val="2"/>
        <w:keepNext w:val="0"/>
        <w:keepLines w:val="0"/>
        <w:widowControl/>
        <w:suppressLineNumbers w:val="0"/>
        <w:spacing w:before="0" w:beforeAutospacing="0" w:after="0" w:afterAutospacing="0"/>
        <w:ind w:left="0" w:right="0"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□适用 </w:t>
      </w:r>
      <w:r>
        <w:rPr>
          <w:rFonts w:hint="eastAsia" w:ascii="宋体" w:hAnsi="宋体" w:eastAsia="宋体" w:cs="宋体"/>
          <w:sz w:val="21"/>
          <w:szCs w:val="21"/>
        </w:rPr>
        <w:sym w:font="Wingdings 2" w:char="F052"/>
      </w:r>
      <w:r>
        <w:rPr>
          <w:rFonts w:hint="eastAsia" w:ascii="宋体" w:hAnsi="宋体" w:eastAsia="宋体" w:cs="宋体"/>
          <w:sz w:val="21"/>
          <w:szCs w:val="21"/>
        </w:rPr>
        <w:t>不适用</w:t>
      </w:r>
    </w:p>
    <w:p>
      <w:pPr>
        <w:keepNext/>
        <w:keepLines/>
        <w:spacing w:before="300" w:after="300" w:line="320" w:lineRule="exact"/>
        <w:jc w:val="left"/>
        <w:outlineLvl w:val="1"/>
        <w:rPr>
          <w:rFonts w:ascii="宋体" w:hAnsi="宋体" w:eastAsia="宋体" w:cs="宋体"/>
          <w:b/>
          <w:bCs/>
          <w:sz w:val="24"/>
          <w:szCs w:val="24"/>
        </w:rPr>
      </w:pPr>
      <w:bookmarkStart w:id="8" w:name="_Toc988897"/>
      <w:r>
        <w:rPr>
          <w:rFonts w:ascii="宋体" w:hAnsi="宋体" w:eastAsia="宋体" w:cs="宋体"/>
          <w:b/>
          <w:bCs/>
          <w:sz w:val="24"/>
          <w:szCs w:val="24"/>
        </w:rPr>
        <w:t>三、重要事项</w:t>
      </w:r>
      <w:bookmarkEnd w:id="8"/>
    </w:p>
    <w:p>
      <w:pPr>
        <w:pStyle w:val="2"/>
        <w:keepNext w:val="0"/>
        <w:keepLines w:val="0"/>
        <w:widowControl/>
        <w:suppressLineNumbers w:val="0"/>
        <w:spacing w:before="0" w:beforeAutospacing="0" w:after="0" w:afterAutospacing="0"/>
        <w:ind w:left="0" w:right="0" w:firstLine="420" w:firstLineChars="200"/>
        <w:jc w:val="both"/>
        <w:rPr>
          <w:rFonts w:hint="eastAsia" w:ascii="宋体" w:hAnsi="宋体" w:eastAsia="宋体" w:cs="宋体"/>
          <w:sz w:val="21"/>
          <w:szCs w:val="21"/>
        </w:rPr>
      </w:pPr>
      <w:r>
        <w:rPr>
          <w:rFonts w:hint="eastAsia" w:ascii="宋体" w:hAnsi="宋体" w:eastAsia="宋体" w:cs="宋体"/>
          <w:sz w:val="21"/>
          <w:szCs w:val="21"/>
        </w:rPr>
        <w:t>公司于2023年12月29日召开的第十届董事会第二次战略委员会、第十届董事会第二次独立董事专门会议，并于同日提交第十届董事会第十三次会议，审议通过了《关于公司拟参与公开摘牌收购华琨生物34%股权的议案》，以公开摘牌方式收购青岛旅投生态康养有限公司持有青岛华琨生物科技有限公司34%股权。2024年2月1日，公司与旅投康养签订了《关于青岛华琨生物科技有限公司的股权转让协议》，2024年2月5日，青岛产权交易所向公司出具《产权交易凭证》，2024年4月22日，完成工商变更登记。</w:t>
      </w:r>
    </w:p>
    <w:p>
      <w:pPr>
        <w:pStyle w:val="2"/>
        <w:keepNext w:val="0"/>
        <w:keepLines w:val="0"/>
        <w:widowControl/>
        <w:suppressLineNumbers w:val="0"/>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spacing w:before="0" w:beforeAutospacing="0" w:after="0" w:afterAutospacing="0"/>
        <w:ind w:left="0" w:right="0"/>
        <w:jc w:val="right"/>
        <w:rPr>
          <w:rFonts w:hint="eastAsia" w:ascii="宋体" w:hAnsi="宋体" w:eastAsia="宋体" w:cs="宋体"/>
          <w:sz w:val="21"/>
          <w:szCs w:val="21"/>
          <w:lang w:val="en-US" w:eastAsia="zh-CN"/>
        </w:rPr>
      </w:pPr>
    </w:p>
    <w:p>
      <w:pPr>
        <w:pStyle w:val="2"/>
        <w:keepNext w:val="0"/>
        <w:keepLines w:val="0"/>
        <w:widowControl/>
        <w:suppressLineNumbers w:val="0"/>
        <w:spacing w:before="0" w:beforeAutospacing="0" w:after="0" w:afterAutospacing="0"/>
        <w:ind w:left="0" w:right="0"/>
        <w:jc w:val="right"/>
        <w:rPr>
          <w:rFonts w:hint="eastAsia" w:ascii="宋体" w:hAnsi="宋体" w:eastAsia="宋体" w:cs="宋体"/>
          <w:sz w:val="21"/>
          <w:szCs w:val="21"/>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青岛食品股份有限公司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董事会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2024年8月28日</w:t>
      </w: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drawing>
        <wp:anchor distT="0" distB="0" distL="114300" distR="114300" simplePos="0" relativeHeight="251659264" behindDoc="1" locked="0" layoutInCell="1" allowOverlap="1">
          <wp:simplePos x="0" y="0"/>
          <wp:positionH relativeFrom="column">
            <wp:posOffset>74930</wp:posOffset>
          </wp:positionH>
          <wp:positionV relativeFrom="paragraph">
            <wp:posOffset>-762000</wp:posOffset>
          </wp:positionV>
          <wp:extent cx="907415" cy="907415"/>
          <wp:effectExtent l="0" t="0" r="0" b="0"/>
          <wp:wrapThrough wrapText="bothSides">
            <wp:wrapPolygon>
              <wp:start x="8162" y="6802"/>
              <wp:lineTo x="2721" y="9523"/>
              <wp:lineTo x="2267" y="14057"/>
              <wp:lineTo x="5442" y="14057"/>
              <wp:lineTo x="7255" y="15871"/>
              <wp:lineTo x="7709" y="16778"/>
              <wp:lineTo x="13150" y="16778"/>
              <wp:lineTo x="20859" y="14511"/>
              <wp:lineTo x="20859" y="14057"/>
              <wp:lineTo x="18139" y="6802"/>
              <wp:lineTo x="8162" y="6802"/>
            </wp:wrapPolygon>
          </wp:wrapThrough>
          <wp:docPr id="2" name="图片 2" descr="微信图片_20231201160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201160657"/>
                  <pic:cNvPicPr>
                    <a:picLocks noChangeAspect="1"/>
                  </pic:cNvPicPr>
                </pic:nvPicPr>
                <pic:blipFill>
                  <a:blip r:embed="rId1"/>
                  <a:stretch>
                    <a:fillRect/>
                  </a:stretch>
                </pic:blipFill>
                <pic:spPr>
                  <a:xfrm>
                    <a:off x="0" y="0"/>
                    <a:ext cx="907415" cy="907415"/>
                  </a:xfrm>
                  <a:prstGeom prst="rect">
                    <a:avLst/>
                  </a:prstGeom>
                </pic:spPr>
              </pic:pic>
            </a:graphicData>
          </a:graphic>
        </wp:anchor>
      </w:drawing>
    </w:r>
    <w:r>
      <w:rPr>
        <w:rFonts w:ascii="宋体" w:eastAsia="宋体"/>
        <w:sz w:val="18"/>
        <w:szCs w:val="18"/>
      </w:rPr>
      <w:t>青岛食品股份有限公司2024年半年度报告摘要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doNotExpandShiftReturn/>
    <w:useFELayout/>
    <w:compatSetting w:name="compatibilityMode" w:uri="http://schemas.microsoft.com/office/word" w:val="14"/>
  </w:compat>
  <w:docVars>
    <w:docVar w:name="commondata" w:val="eyJoZGlkIjoiMzE2MWM4NGI3Zjc4YmM2NmMwMDA5N2UzMzkwMGYwZGQifQ=="/>
  </w:docVars>
  <w:rsids>
    <w:rsidRoot w:val="00000000"/>
    <w:rsid w:val="0E636264"/>
    <w:rsid w:val="339C45FD"/>
    <w:rsid w:val="52D33D97"/>
    <w:rsid w:val="59BE2F10"/>
    <w:rsid w:val="797543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2024-08-14T08:02:00Z</dcterms:created>
  <dc:creator>Administrator.USER-20191202VK</dc:creator>
  <cp:lastModifiedBy>李春宏</cp:lastModifiedBy>
  <cp:lastPrinted>2024-08-22T00:12:00Z</cp:lastPrinted>
  <dcterms:modified xsi:type="dcterms:W3CDTF">2024-08-22T00:13:35Z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88FE5C160BDC48839596BE35747B70F9_12</vt:lpwstr>
  </property>
</Properties>
</file>